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2D8E2CDA" w:rsidR="00C66B6E" w:rsidRPr="00C66B6E" w:rsidRDefault="00BF29C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M.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Almarzan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Dur</w:t>
      </w:r>
      <w:r w:rsidRPr="00BF29C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án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N. Fanciullo</w:t>
      </w:r>
    </w:p>
    <w:p w14:paraId="20FC56FE" w14:textId="2E47F497" w:rsidR="00757611" w:rsidRPr="00BF29CC" w:rsidRDefault="00E91B08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F29CC">
        <w:rPr>
          <w:rFonts w:asciiTheme="majorHAnsi" w:hAnsiTheme="majorHAnsi" w:cstheme="majorHAnsi"/>
          <w:b/>
          <w:bCs/>
          <w:sz w:val="22"/>
          <w:szCs w:val="22"/>
        </w:rPr>
        <w:t>ABC</w:t>
      </w:r>
      <w:r w:rsidR="00013609" w:rsidRPr="00BF29CC">
        <w:rPr>
          <w:rFonts w:asciiTheme="majorHAnsi" w:hAnsiTheme="majorHAnsi" w:cstheme="majorHAnsi"/>
          <w:b/>
          <w:bCs/>
          <w:sz w:val="22"/>
          <w:szCs w:val="22"/>
        </w:rPr>
        <w:t xml:space="preserve">… Culture </w:t>
      </w:r>
      <w:proofErr w:type="spellStart"/>
      <w:r w:rsidR="00BF29CC">
        <w:rPr>
          <w:rFonts w:asciiTheme="majorHAnsi" w:hAnsiTheme="majorHAnsi" w:cstheme="majorHAnsi"/>
          <w:b/>
          <w:bCs/>
          <w:sz w:val="22"/>
          <w:szCs w:val="22"/>
        </w:rPr>
        <w:t>hispana</w:t>
      </w:r>
      <w:proofErr w:type="spellEnd"/>
    </w:p>
    <w:p w14:paraId="0BA21695" w14:textId="1AE69676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9"/>
      </w:tblGrid>
      <w:tr w:rsidR="000D36E4" w:rsidRPr="008E01DD" w14:paraId="21334735" w14:textId="4F5DCF1E" w:rsidTr="00284277">
        <w:trPr>
          <w:trHeight w:val="237"/>
        </w:trPr>
        <w:tc>
          <w:tcPr>
            <w:tcW w:w="10299" w:type="dxa"/>
          </w:tcPr>
          <w:p w14:paraId="18F5DD08" w14:textId="19523078" w:rsidR="000D36E4" w:rsidRPr="00DF77CC" w:rsidRDefault="00A005B4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1" w:name="_Hlk63684124"/>
            <w:r w:rsidRPr="008E01D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ABC… </w:t>
            </w:r>
            <w:r w:rsidRPr="0001360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Culture –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France et Francophonie</w:t>
            </w:r>
          </w:p>
        </w:tc>
      </w:tr>
      <w:tr w:rsidR="000D36E4" w:rsidRPr="00FD4EE3" w14:paraId="3ECE2155" w14:textId="0BC3812C" w:rsidTr="00A005B4">
        <w:trPr>
          <w:trHeight w:val="784"/>
        </w:trPr>
        <w:tc>
          <w:tcPr>
            <w:tcW w:w="10299" w:type="dxa"/>
          </w:tcPr>
          <w:p w14:paraId="67E32E30" w14:textId="06AFD2A7" w:rsidR="00C536F9" w:rsidRPr="00107FB6" w:rsidRDefault="00DF77CC" w:rsidP="00107F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Libro digitale + Libro digitale liquido + </w:t>
            </w:r>
            <w:proofErr w:type="spellStart"/>
            <w:r w:rsidR="00C536F9"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C536F9"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00D7DC6A" w14:textId="77777777" w:rsidR="00107FB6" w:rsidRPr="00107FB6" w:rsidRDefault="00107FB6" w:rsidP="00107F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9788861618657</w:t>
            </w:r>
          </w:p>
          <w:p w14:paraId="43C4C3E5" w14:textId="11F562B2" w:rsidR="000D36E4" w:rsidRPr="00DF77CC" w:rsidRDefault="00107FB6" w:rsidP="00107FB6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9,30</w:t>
            </w:r>
            <w:r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Pr="00107F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9A97569" w14:textId="26018A55" w:rsidR="00BE4B57" w:rsidRPr="00954DED" w:rsidRDefault="00954DED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954D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Dagli autori di </w:t>
      </w:r>
      <w:r w:rsidRPr="00954DED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Mi banda</w:t>
      </w:r>
      <w:r w:rsidRPr="00954D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una civiltà di Spagnolo che unisce cultura, Educazione civica e preparazione all’Esame di stato. Coinvolgente e graduata, alterna la cultura tradizionale alle parole chiave dell’Agenda 2030. Con la civiltà </w:t>
      </w:r>
      <w:proofErr w:type="gramStart"/>
      <w:r w:rsidRPr="00954D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Francese</w:t>
      </w:r>
      <w:proofErr w:type="gramEnd"/>
      <w:r w:rsidRPr="00954DE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e Inglese, dà vita a una collana di civiltà per la Scuola secondaria di I grado.</w:t>
      </w:r>
    </w:p>
    <w:p w14:paraId="63FE1892" w14:textId="77777777" w:rsidR="00954DED" w:rsidRPr="009540E3" w:rsidRDefault="00954DED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AAC410F" w14:textId="77777777" w:rsidR="007E7ED2" w:rsidRPr="007E7ED2" w:rsidRDefault="007E7ED2" w:rsidP="003E6483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E7ED2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7E7ED2">
        <w:rPr>
          <w:rFonts w:asciiTheme="majorHAnsi" w:hAnsiTheme="majorHAnsi" w:cstheme="majorHAnsi"/>
          <w:color w:val="333333"/>
          <w:sz w:val="22"/>
          <w:szCs w:val="22"/>
        </w:rPr>
        <w:t>: alternanza di temi di cultura “tradizionale” aggiornati con temi di Educazione civica.</w:t>
      </w:r>
    </w:p>
    <w:p w14:paraId="1D48BE15" w14:textId="77777777" w:rsidR="007E7ED2" w:rsidRPr="007E7ED2" w:rsidRDefault="007E7ED2" w:rsidP="003E6483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E7ED2">
        <w:rPr>
          <w:rFonts w:asciiTheme="majorHAnsi" w:hAnsiTheme="majorHAnsi" w:cstheme="majorHAnsi"/>
          <w:b/>
          <w:bCs/>
          <w:color w:val="333333"/>
          <w:sz w:val="22"/>
          <w:szCs w:val="22"/>
        </w:rPr>
        <w:t>Agenda 2030</w:t>
      </w:r>
      <w:r w:rsidRPr="007E7ED2">
        <w:rPr>
          <w:rFonts w:asciiTheme="majorHAnsi" w:hAnsiTheme="majorHAnsi" w:cstheme="majorHAnsi"/>
          <w:color w:val="333333"/>
          <w:sz w:val="22"/>
          <w:szCs w:val="22"/>
        </w:rPr>
        <w:t>: focus sugli obiettivi 2030, con testi e video di approfondimento, per formare i cittadini di domani.</w:t>
      </w:r>
    </w:p>
    <w:p w14:paraId="0AB0F91C" w14:textId="77777777" w:rsidR="007E7ED2" w:rsidRPr="007E7ED2" w:rsidRDefault="007E7ED2" w:rsidP="003E6483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E7ED2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Life skills</w:t>
      </w:r>
      <w:r w:rsidRPr="007E7ED2">
        <w:rPr>
          <w:rFonts w:asciiTheme="majorHAnsi" w:hAnsiTheme="majorHAnsi" w:cstheme="majorHAnsi"/>
          <w:color w:val="333333"/>
          <w:sz w:val="22"/>
          <w:szCs w:val="22"/>
        </w:rPr>
        <w:t>: </w:t>
      </w:r>
      <w:proofErr w:type="spellStart"/>
      <w:r w:rsidRPr="007E7ED2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Competencias</w:t>
      </w:r>
      <w:proofErr w:type="spellEnd"/>
      <w:r w:rsidRPr="007E7ED2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para la </w:t>
      </w:r>
      <w:proofErr w:type="spellStart"/>
      <w:r w:rsidRPr="007E7ED2">
        <w:rPr>
          <w:rFonts w:asciiTheme="majorHAnsi" w:hAnsiTheme="majorHAnsi" w:cstheme="majorHAnsi"/>
          <w:i/>
          <w:iCs/>
          <w:color w:val="333333"/>
          <w:sz w:val="22"/>
          <w:szCs w:val="22"/>
        </w:rPr>
        <w:t>vida</w:t>
      </w:r>
      <w:proofErr w:type="spellEnd"/>
      <w:r w:rsidRPr="007E7ED2">
        <w:rPr>
          <w:rFonts w:asciiTheme="majorHAnsi" w:hAnsiTheme="majorHAnsi" w:cstheme="majorHAnsi"/>
          <w:color w:val="333333"/>
          <w:sz w:val="22"/>
          <w:szCs w:val="22"/>
        </w:rPr>
        <w:t>, attività e progetti per stimolare negli studenti il dibattito, il pensiero critico, la risoluzione di problemi e il lavoro di squadra.</w:t>
      </w:r>
    </w:p>
    <w:p w14:paraId="4251539B" w14:textId="77777777" w:rsidR="007E7ED2" w:rsidRPr="007E7ED2" w:rsidRDefault="007E7ED2" w:rsidP="003E6483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E7ED2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Esame di stato</w:t>
      </w:r>
      <w:r w:rsidRPr="007E7ED2">
        <w:rPr>
          <w:rFonts w:asciiTheme="majorHAnsi" w:hAnsiTheme="majorHAnsi" w:cstheme="majorHAnsi"/>
          <w:color w:val="333333"/>
          <w:sz w:val="22"/>
          <w:szCs w:val="22"/>
        </w:rPr>
        <w:t>: argomenti e attività utili per la preparazione dell’Esame di Stato, in particolare mappe interdisciplinari con attenzione a tutte le materie.</w:t>
      </w:r>
    </w:p>
    <w:p w14:paraId="74E08D05" w14:textId="77777777" w:rsidR="00C536F9" w:rsidRPr="003E6483" w:rsidRDefault="00C536F9" w:rsidP="003E6483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19EB59CB" w:rsidR="003A5082" w:rsidRPr="003E6483" w:rsidRDefault="003A5082" w:rsidP="003E6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E6483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0241DDA" w14:textId="6A4704FF" w:rsidR="00757611" w:rsidRPr="003E6483" w:rsidRDefault="00757611" w:rsidP="003E6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E6483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3E6483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3E6483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3E6483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4EA71C3D" w14:textId="24009975" w:rsidR="003E6483" w:rsidRPr="003E6483" w:rsidRDefault="003E6483" w:rsidP="003E6483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 Inoltre, permette di accedere ai materiali digitali integrativi.</w:t>
      </w:r>
    </w:p>
    <w:p w14:paraId="7BF31E9B" w14:textId="51371E02" w:rsidR="003E6483" w:rsidRPr="003E6483" w:rsidRDefault="003E6483" w:rsidP="003E6483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</w:t>
      </w:r>
    </w:p>
    <w:p w14:paraId="38EA2755" w14:textId="3844FC02" w:rsidR="003E6483" w:rsidRPr="003E6483" w:rsidRDefault="003E6483" w:rsidP="003E6483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3E6483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09F3A7A6" w14:textId="77777777" w:rsidR="003E6483" w:rsidRPr="003E6483" w:rsidRDefault="003E6483" w:rsidP="003E6483">
      <w:pPr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</w:t>
      </w:r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 Google </w:t>
      </w:r>
      <w:proofErr w:type="spellStart"/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3E648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3E6483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49849857" w:rsidR="00EA7FC3" w:rsidRPr="001673A9" w:rsidRDefault="00EA7FC3" w:rsidP="003E6483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0"/>
  </w:num>
  <w:num w:numId="2" w16cid:durableId="1162042512">
    <w:abstractNumId w:val="7"/>
  </w:num>
  <w:num w:numId="3" w16cid:durableId="1920139542">
    <w:abstractNumId w:val="13"/>
  </w:num>
  <w:num w:numId="4" w16cid:durableId="1944650568">
    <w:abstractNumId w:val="9"/>
  </w:num>
  <w:num w:numId="5" w16cid:durableId="1547181364">
    <w:abstractNumId w:val="2"/>
  </w:num>
  <w:num w:numId="6" w16cid:durableId="2042238217">
    <w:abstractNumId w:val="14"/>
  </w:num>
  <w:num w:numId="7" w16cid:durableId="737485094">
    <w:abstractNumId w:val="11"/>
  </w:num>
  <w:num w:numId="8" w16cid:durableId="755514913">
    <w:abstractNumId w:val="4"/>
  </w:num>
  <w:num w:numId="9" w16cid:durableId="1555890889">
    <w:abstractNumId w:val="5"/>
  </w:num>
  <w:num w:numId="10" w16cid:durableId="1292050163">
    <w:abstractNumId w:val="12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6"/>
  </w:num>
  <w:num w:numId="14" w16cid:durableId="1111511253">
    <w:abstractNumId w:val="3"/>
  </w:num>
  <w:num w:numId="15" w16cid:durableId="631710408">
    <w:abstractNumId w:val="15"/>
  </w:num>
  <w:num w:numId="16" w16cid:durableId="385106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D36E4"/>
    <w:rsid w:val="00107FB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E6483"/>
    <w:rsid w:val="003F2758"/>
    <w:rsid w:val="004649F8"/>
    <w:rsid w:val="0047421B"/>
    <w:rsid w:val="004C5C6B"/>
    <w:rsid w:val="00501DF4"/>
    <w:rsid w:val="0052114E"/>
    <w:rsid w:val="00566077"/>
    <w:rsid w:val="005A336F"/>
    <w:rsid w:val="005E5E25"/>
    <w:rsid w:val="00603F1D"/>
    <w:rsid w:val="00611416"/>
    <w:rsid w:val="006C11BD"/>
    <w:rsid w:val="00757611"/>
    <w:rsid w:val="007B4C9C"/>
    <w:rsid w:val="007E7ED2"/>
    <w:rsid w:val="007F3EA0"/>
    <w:rsid w:val="0081092A"/>
    <w:rsid w:val="0082135E"/>
    <w:rsid w:val="00833CE4"/>
    <w:rsid w:val="00864C56"/>
    <w:rsid w:val="008E01DD"/>
    <w:rsid w:val="009108E4"/>
    <w:rsid w:val="009540E3"/>
    <w:rsid w:val="00954DED"/>
    <w:rsid w:val="009660F2"/>
    <w:rsid w:val="009E0DF2"/>
    <w:rsid w:val="00A005B4"/>
    <w:rsid w:val="00A55A6E"/>
    <w:rsid w:val="00AC3E57"/>
    <w:rsid w:val="00AD730B"/>
    <w:rsid w:val="00B005FA"/>
    <w:rsid w:val="00B27764"/>
    <w:rsid w:val="00BD658B"/>
    <w:rsid w:val="00BE4B57"/>
    <w:rsid w:val="00BF29CC"/>
    <w:rsid w:val="00C22A52"/>
    <w:rsid w:val="00C536F9"/>
    <w:rsid w:val="00C60134"/>
    <w:rsid w:val="00C66B6E"/>
    <w:rsid w:val="00D05CA3"/>
    <w:rsid w:val="00D50753"/>
    <w:rsid w:val="00D67CB7"/>
    <w:rsid w:val="00D7741F"/>
    <w:rsid w:val="00DB17CB"/>
    <w:rsid w:val="00DE4E1A"/>
    <w:rsid w:val="00DF77CC"/>
    <w:rsid w:val="00E17189"/>
    <w:rsid w:val="00E51923"/>
    <w:rsid w:val="00E8774B"/>
    <w:rsid w:val="00E91B08"/>
    <w:rsid w:val="00EA7FC3"/>
    <w:rsid w:val="00ED32A5"/>
    <w:rsid w:val="00F13E5D"/>
    <w:rsid w:val="00F55DC7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73</cp:revision>
  <dcterms:created xsi:type="dcterms:W3CDTF">2022-02-02T18:14:00Z</dcterms:created>
  <dcterms:modified xsi:type="dcterms:W3CDTF">2023-02-10T09:57:00Z</dcterms:modified>
</cp:coreProperties>
</file>